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ratios</w:t>
      </w:r>
    </w:p>
    <w:p w:rsidR="00000000" w:rsidDel="00000000" w:rsidP="00000000" w:rsidRDefault="00000000" w:rsidRPr="00000000" w14:paraId="0000000A">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B">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14:paraId="0000000C">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160" w:line="480" w:lineRule="auto"/>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Current Ratio is calculated by divided current assets by current liabilities</w:t>
      </w:r>
      <w:r w:rsidDel="00000000" w:rsidR="00000000" w:rsidRPr="00000000">
        <w:rPr>
          <w:rFonts w:ascii="Times New Roman" w:cs="Times New Roman" w:eastAsia="Times New Roman" w:hAnsi="Times New Roman"/>
          <w:sz w:val="24"/>
          <w:szCs w:val="24"/>
          <w:highlight w:val="white"/>
          <w:rtl w:val="0"/>
        </w:rPr>
        <w:t xml:space="preserve"> (Fridson and Alvarez, 2011)</w:t>
      </w:r>
      <w:r w:rsidDel="00000000" w:rsidR="00000000" w:rsidRPr="00000000">
        <w:rPr>
          <w:rFonts w:ascii="Times New Roman" w:cs="Times New Roman" w:eastAsia="Times New Roman" w:hAnsi="Times New Roman"/>
          <w:sz w:val="24"/>
          <w:szCs w:val="24"/>
          <w:rtl w:val="0"/>
        </w:rPr>
        <w:t xml:space="preserve">. This is a liquidity ratio that indicates whether a business can meet its short-term obligations. In the financial years 2018, 2017, 2016 and 2015, the current ratios for the company were 3.9, 5.1, 6.3 and 4.7 respectively.  It is clear that the company is well poised to cover its short term obligations, and had the ratio been less than 1.0 then that can indicate trouble for the company. The ratio fell steadily from 6.3 to 5.1. and the finally settling at 3.9 from the financial years 2016, 2017 and 2018 respectively. The gradual decline might have been result of measures taken by the company to increase its current assets relative to current liabilities. </w:t>
      </w:r>
    </w:p>
    <w:p w:rsidR="00000000" w:rsidDel="00000000" w:rsidP="00000000" w:rsidRDefault="00000000" w:rsidRPr="00000000" w14:paraId="00000014">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to equity ratio is calculated by dividing total liabilities with shareholder equity. This is a type of gearing ratio that indicates the proportion of financing due to external capital providers such as investors. A higher ratio shows that more investment is in the form of debts.  For the financial years 2018, 2017, 2016 and 2015, the debts to equity ratios were 0.31, 0.29, 0.20 and 0.23 respectively. This continues to show that the company’s major source of financing still comes from the shareholders as opposed to external providers of debts and loans. It is obvious that from the financial years 2016 to 2018, debt to equity ratio increased from 0.20 before settling at 0.31 respectively. This means that the level of debt has been increasing relative to shareholder equity. </w:t>
      </w:r>
    </w:p>
    <w:p w:rsidR="00000000" w:rsidDel="00000000" w:rsidP="00000000" w:rsidRDefault="00000000" w:rsidRPr="00000000" w14:paraId="00000015">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free cash flow is a type of efficiency ratio estimates the extent to which a business generates cash it uses for expansion. It is calculated when capital expenditures are subtracted from the operating cash flow. It is the excess funds a firm generates after paying both capital expenditures and operating expenses. For the financial years discussed in this exercise, the free cash flow is negative because the operating cash flow is negative, while expenditures are not sufficient enough to turn the tide and convert free cash flow to a positive figure. </w:t>
      </w:r>
    </w:p>
    <w:p w:rsidR="00000000" w:rsidDel="00000000" w:rsidP="00000000" w:rsidRDefault="00000000" w:rsidRPr="00000000" w14:paraId="00000016">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Earnings per share (EPS) estimate the level of net profit for every share of the shares outstanding. This means that it it’s the amount of money for every share that every share would share if the profit made in the year were to be distributed for all the outstanding shares at the close of the financial year.  For the financial years 2018, 2017, 2016, and 2015, the EPS were 0.68, 0.31. 0.53 and 0.50 respectively.  Shareholders realized greater theoretical earnings in 2018 compared to 2017, while for 2016 and 2015, the EPS were fairly even. </w:t>
      </w:r>
    </w:p>
    <w:p w:rsidR="00000000" w:rsidDel="00000000" w:rsidP="00000000" w:rsidRDefault="00000000" w:rsidRPr="00000000" w14:paraId="00000017">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Price/Earnings ratio indicates what the market should be paying for the stock based on the current earnings. This ratio is important to market analysts who seek to judge the fair stock price.  P/E ratio of $1531, $3348, $1417 and $1569 against market prices for the stock of $1045, $1053, $792 and $778 for the financial years 2018, 2017, 2016 and 2015 respectively indicates a stock that is genuinely underpriced. </w:t>
      </w:r>
    </w:p>
    <w:p w:rsidR="00000000" w:rsidDel="00000000" w:rsidP="00000000" w:rsidRDefault="00000000" w:rsidRPr="00000000" w14:paraId="00000018">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Return on Equity is calculated as a percentage of net income divided by shareholder equity. On the other hand, net profit margin is also calculated by dividing net profit by revenue. In the financial year 2017, the company experienced a dip in both its earnings from equity and revenue perspective, while financial years 2015 and 2016 indicated a certain degree of relative constancy. The company later rebounded in the financial year 2018 with both the return on equity and net profit margin pulling on levels unmatched in the four financial-year period. </w:t>
      </w:r>
    </w:p>
    <w:p w:rsidR="00000000" w:rsidDel="00000000" w:rsidP="00000000" w:rsidRDefault="00000000" w:rsidRPr="00000000" w14:paraId="00000019">
      <w:pPr>
        <w:spacing w:after="16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16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w:t>
      </w:r>
    </w:p>
    <w:p w:rsidR="00000000" w:rsidDel="00000000" w:rsidP="00000000" w:rsidRDefault="00000000" w:rsidRPr="00000000" w14:paraId="0000001C">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Fridson, M.S. and Alvarez, F., 2011. </w:t>
      </w:r>
      <w:r w:rsidDel="00000000" w:rsidR="00000000" w:rsidRPr="00000000">
        <w:rPr>
          <w:rFonts w:ascii="Times New Roman" w:cs="Times New Roman" w:eastAsia="Times New Roman" w:hAnsi="Times New Roman"/>
          <w:i w:val="1"/>
          <w:sz w:val="24"/>
          <w:szCs w:val="24"/>
          <w:highlight w:val="white"/>
          <w:rtl w:val="0"/>
        </w:rPr>
        <w:t xml:space="preserve">Financial statement analysis: a practitioner's guide</w:t>
      </w:r>
      <w:r w:rsidDel="00000000" w:rsidR="00000000" w:rsidRPr="00000000">
        <w:rPr>
          <w:rFonts w:ascii="Times New Roman" w:cs="Times New Roman" w:eastAsia="Times New Roman" w:hAnsi="Times New Roman"/>
          <w:sz w:val="24"/>
          <w:szCs w:val="24"/>
          <w:highlight w:val="white"/>
          <w:rtl w:val="0"/>
        </w:rPr>
        <w:t xml:space="preserve"> (Vol. 597). John Wiley &amp; Sons.</w:t>
      </w:r>
      <w:r w:rsidDel="00000000" w:rsidR="00000000" w:rsidRPr="00000000">
        <w:rPr>
          <w:rtl w:val="0"/>
        </w:rPr>
      </w:r>
    </w:p>
    <w:p w:rsidR="00000000" w:rsidDel="00000000" w:rsidP="00000000" w:rsidRDefault="00000000" w:rsidRPr="00000000" w14:paraId="0000001D">
      <w:pPr>
        <w:shd w:fill="ffffff" w:val="clear"/>
        <w:spacing w:after="16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160" w:line="480" w:lineRule="auto"/>
        <w:jc w:val="both"/>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Financial ratios 1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